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3GPP TSG-RAN WG4 Meeting # 106bis-e                               R4-230</w:t>
      </w:r>
      <w:r>
        <w:rPr>
          <w:rFonts w:hint="eastAsia" w:ascii="Arial" w:hAnsi="Arial" w:cs="Arial"/>
          <w:b/>
          <w:sz w:val="24"/>
          <w:szCs w:val="24"/>
          <w:highlight w:val="none"/>
          <w:lang w:val="en-US" w:eastAsia="zh-CN"/>
        </w:rPr>
        <w:t>4794</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Online, April 17 – April 26,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4.32.3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3"/>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UE</w:t>
      </w:r>
      <w:r>
        <w:rPr>
          <w:rFonts w:hint="eastAsia" w:ascii="Arial" w:hAnsi="Arial" w:eastAsia="宋体" w:cs="Arial"/>
          <w:b/>
          <w:sz w:val="24"/>
          <w:szCs w:val="24"/>
          <w:highlight w:val="none"/>
          <w:lang w:val="en-US" w:eastAsia="zh-CN"/>
        </w:rPr>
        <w:t xml:space="preserve"> RF requirements for the satellite L-/S-band</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bookmarkStart w:id="8" w:name="_GoBack"/>
      <w:bookmarkEnd w:id="8"/>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RAN#98e meeting, the work item [</w:t>
      </w:r>
      <w:r>
        <w:rPr>
          <w:rFonts w:hint="eastAsia" w:ascii="Times New Roman" w:hAnsi="Times New Roman" w:eastAsia="宋体" w:cs="Times New Roman"/>
          <w:sz w:val="20"/>
          <w:szCs w:val="20"/>
          <w:highlight w:val="none"/>
          <w:lang w:val="en-US" w:eastAsia="zh-CN"/>
        </w:rPr>
        <w:t>RP-223485</w:t>
      </w:r>
      <w:r>
        <w:rPr>
          <w:rFonts w:hint="eastAsia" w:cs="Times New Roman"/>
          <w:kern w:val="2"/>
          <w:sz w:val="21"/>
          <w:szCs w:val="22"/>
          <w:highlight w:val="none"/>
          <w:lang w:val="en-US" w:eastAsia="zh-CN" w:bidi="ar-SA"/>
        </w:rPr>
        <w:t>] on Introduction of the satellite L-/S-band was approved. Part of the objective is as follows:</w:t>
      </w:r>
    </w:p>
    <w:p>
      <w:pPr>
        <w:pStyle w:val="50"/>
      </w:pPr>
      <w:r>
        <w:t>-</w:t>
      </w:r>
      <w:r>
        <w:tab/>
      </w:r>
      <w:r>
        <w:t>Specify a new NTN FDD band with a UE transmitting at 1610-1626.5MHz and SAN transmitting at 2483.5-2500MHz;</w:t>
      </w:r>
    </w:p>
    <w:p>
      <w:pPr>
        <w:pStyle w:val="50"/>
      </w:pPr>
      <w:r>
        <w:t>-</w:t>
      </w:r>
      <w:r>
        <w:tab/>
      </w:r>
      <w:r>
        <w:t>Support channel bandwidths and SCS as presented in Table 4.1-1 below;</w:t>
      </w:r>
    </w:p>
    <w:p>
      <w:pPr>
        <w:pStyle w:val="50"/>
      </w:pPr>
      <w:r>
        <w:t>-</w:t>
      </w:r>
      <w:r>
        <w:tab/>
      </w:r>
      <w:bookmarkStart w:id="2" w:name="OLE_LINK1"/>
      <w:r>
        <w:t>Support channel raster points at step of 100kHz</w:t>
      </w:r>
      <w:bookmarkEnd w:id="2"/>
      <w:r>
        <w:t>;</w:t>
      </w:r>
    </w:p>
    <w:p>
      <w:pPr>
        <w:pStyle w:val="50"/>
      </w:pPr>
      <w:r>
        <w:tab/>
      </w:r>
      <w:r>
        <w:t>NOTE: Support for channel raster points at step of 5kHz can be considered later based on the outcome of the corresponding RAN WG4 for potential channel raster enhancements.</w:t>
      </w:r>
    </w:p>
    <w:p>
      <w:pPr>
        <w:pStyle w:val="50"/>
      </w:pPr>
      <w:r>
        <w:t>-</w:t>
      </w:r>
      <w:r>
        <w:tab/>
      </w:r>
      <w:r>
        <w:t xml:space="preserve">Support UE Power class 3 (+23dBm); </w:t>
      </w:r>
    </w:p>
    <w:p>
      <w:pPr>
        <w:pStyle w:val="50"/>
      </w:pPr>
      <w:r>
        <w:tab/>
      </w:r>
      <w:r>
        <w:t xml:space="preserve">NOTE: Work on UE Power class 2 can commence based on the RAN#99 decision. </w:t>
      </w:r>
    </w:p>
    <w:p>
      <w:pPr>
        <w:pStyle w:val="50"/>
      </w:pPr>
      <w:r>
        <w:t>-</w:t>
      </w:r>
      <w:r>
        <w:tab/>
      </w:r>
      <w:r>
        <w:t>Introduce the corresponding SAN and UE RF core requirements;</w:t>
      </w:r>
    </w:p>
    <w:p>
      <w:pPr>
        <w:pStyle w:val="50"/>
        <w:rPr>
          <w:bCs/>
        </w:rPr>
      </w:pPr>
      <w:r>
        <w:t>-</w:t>
      </w:r>
      <w:r>
        <w:tab/>
      </w:r>
      <w:r>
        <w:t>Introduce the corresponding RRM requirements.</w:t>
      </w:r>
      <w:r>
        <w:tab/>
      </w:r>
    </w:p>
    <w:p>
      <w:pPr>
        <w:pStyle w:val="45"/>
      </w:pPr>
      <w:r>
        <w:t xml:space="preserve">Table 4.1-1: Channel bandwidth and SCS system parameters. </w:t>
      </w:r>
    </w:p>
    <w:tbl>
      <w:tblPr>
        <w:tblStyle w:val="24"/>
        <w:tblW w:w="36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712"/>
        <w:gridCol w:w="705"/>
        <w:gridCol w:w="713"/>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849" w:type="dxa"/>
            <w:shd w:val="clear" w:color="auto" w:fill="auto"/>
            <w:noWrap w:val="0"/>
            <w:vAlign w:val="center"/>
          </w:tcPr>
          <w:p>
            <w:pPr>
              <w:pStyle w:val="35"/>
            </w:pPr>
            <w:r>
              <w:t>SCS</w:t>
            </w:r>
            <w:r>
              <w:rPr>
                <w:rFonts w:hint="eastAsia" w:eastAsia="Yu Mincho"/>
                <w:lang w:eastAsia="zh-CN"/>
              </w:rPr>
              <w:t xml:space="preserve"> </w:t>
            </w:r>
            <w:r>
              <w:rPr>
                <w:rFonts w:eastAsia="Yu Mincho"/>
                <w:lang w:eastAsia="zh-CN"/>
              </w:rPr>
              <w:t>(</w:t>
            </w:r>
            <w:r>
              <w:t>kHz)</w:t>
            </w:r>
          </w:p>
        </w:tc>
        <w:tc>
          <w:tcPr>
            <w:tcW w:w="2839" w:type="dxa"/>
            <w:gridSpan w:val="4"/>
            <w:shd w:val="clear" w:color="auto" w:fill="auto"/>
            <w:noWrap w:val="0"/>
            <w:vAlign w:val="top"/>
          </w:tcPr>
          <w:p>
            <w:pPr>
              <w:pStyle w:val="35"/>
            </w:pPr>
            <w:r>
              <w:t xml:space="preserve">Channel bandwidth </w:t>
            </w:r>
          </w:p>
          <w:p>
            <w:pPr>
              <w:pStyle w:val="35"/>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9" w:type="dxa"/>
            <w:shd w:val="clear" w:color="auto" w:fill="auto"/>
            <w:noWrap w:val="0"/>
            <w:vAlign w:val="center"/>
          </w:tcPr>
          <w:p>
            <w:pPr>
              <w:pStyle w:val="36"/>
              <w:rPr>
                <w:rFonts w:eastAsia="Yu Mincho"/>
              </w:rPr>
            </w:pPr>
            <w:r>
              <w:t>15</w:t>
            </w:r>
          </w:p>
        </w:tc>
        <w:tc>
          <w:tcPr>
            <w:tcW w:w="712" w:type="dxa"/>
            <w:shd w:val="clear" w:color="auto" w:fill="auto"/>
            <w:noWrap w:val="0"/>
            <w:vAlign w:val="top"/>
          </w:tcPr>
          <w:p>
            <w:pPr>
              <w:pStyle w:val="36"/>
              <w:rPr>
                <w:rFonts w:eastAsia="Yu Mincho"/>
              </w:rPr>
            </w:pPr>
            <w:r>
              <w:t>5</w:t>
            </w:r>
          </w:p>
        </w:tc>
        <w:tc>
          <w:tcPr>
            <w:tcW w:w="705" w:type="dxa"/>
            <w:shd w:val="clear" w:color="auto" w:fill="auto"/>
            <w:noWrap w:val="0"/>
            <w:vAlign w:val="center"/>
          </w:tcPr>
          <w:p>
            <w:pPr>
              <w:pStyle w:val="36"/>
              <w:rPr>
                <w:rFonts w:eastAsia="Yu Mincho"/>
              </w:rPr>
            </w:pPr>
            <w:r>
              <w:t>10</w:t>
            </w:r>
          </w:p>
        </w:tc>
        <w:tc>
          <w:tcPr>
            <w:tcW w:w="713" w:type="dxa"/>
            <w:shd w:val="clear" w:color="auto" w:fill="auto"/>
            <w:noWrap w:val="0"/>
            <w:vAlign w:val="center"/>
          </w:tcPr>
          <w:p>
            <w:pPr>
              <w:pStyle w:val="36"/>
              <w:rPr>
                <w:rFonts w:eastAsia="Yu Mincho"/>
              </w:rPr>
            </w:pPr>
            <w:r>
              <w:t>15</w:t>
            </w:r>
          </w:p>
        </w:tc>
        <w:tc>
          <w:tcPr>
            <w:tcW w:w="709" w:type="dxa"/>
            <w:shd w:val="clear" w:color="auto" w:fill="auto"/>
            <w:noWrap w:val="0"/>
            <w:vAlign w:val="center"/>
          </w:tcPr>
          <w:p>
            <w:pPr>
              <w:pStyle w:val="3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9" w:type="dxa"/>
            <w:shd w:val="clear" w:color="auto" w:fill="auto"/>
            <w:noWrap w:val="0"/>
            <w:vAlign w:val="center"/>
          </w:tcPr>
          <w:p>
            <w:pPr>
              <w:pStyle w:val="36"/>
              <w:rPr>
                <w:rFonts w:eastAsia="Yu Mincho"/>
              </w:rPr>
            </w:pPr>
            <w:r>
              <w:t>30</w:t>
            </w:r>
          </w:p>
        </w:tc>
        <w:tc>
          <w:tcPr>
            <w:tcW w:w="712" w:type="dxa"/>
            <w:shd w:val="clear" w:color="auto" w:fill="auto"/>
            <w:noWrap w:val="0"/>
            <w:vAlign w:val="top"/>
          </w:tcPr>
          <w:p>
            <w:pPr>
              <w:pStyle w:val="36"/>
              <w:rPr>
                <w:rFonts w:eastAsia="Yu Mincho"/>
              </w:rPr>
            </w:pPr>
          </w:p>
        </w:tc>
        <w:tc>
          <w:tcPr>
            <w:tcW w:w="705" w:type="dxa"/>
            <w:shd w:val="clear" w:color="auto" w:fill="auto"/>
            <w:noWrap w:val="0"/>
            <w:vAlign w:val="top"/>
          </w:tcPr>
          <w:p>
            <w:pPr>
              <w:pStyle w:val="36"/>
              <w:rPr>
                <w:rFonts w:eastAsia="Yu Mincho"/>
              </w:rPr>
            </w:pPr>
            <w:r>
              <w:t>10</w:t>
            </w:r>
          </w:p>
        </w:tc>
        <w:tc>
          <w:tcPr>
            <w:tcW w:w="713" w:type="dxa"/>
            <w:shd w:val="clear" w:color="auto" w:fill="auto"/>
            <w:noWrap w:val="0"/>
            <w:vAlign w:val="center"/>
          </w:tcPr>
          <w:p>
            <w:pPr>
              <w:pStyle w:val="36"/>
              <w:rPr>
                <w:rFonts w:eastAsia="Yu Mincho"/>
              </w:rPr>
            </w:pPr>
            <w:r>
              <w:t>15</w:t>
            </w:r>
          </w:p>
        </w:tc>
        <w:tc>
          <w:tcPr>
            <w:tcW w:w="709" w:type="dxa"/>
            <w:shd w:val="clear" w:color="auto" w:fill="auto"/>
            <w:noWrap w:val="0"/>
            <w:vAlign w:val="center"/>
          </w:tcPr>
          <w:p>
            <w:pPr>
              <w:pStyle w:val="3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9" w:type="dxa"/>
            <w:shd w:val="clear" w:color="auto" w:fill="auto"/>
            <w:noWrap w:val="0"/>
            <w:vAlign w:val="center"/>
          </w:tcPr>
          <w:p>
            <w:pPr>
              <w:pStyle w:val="36"/>
            </w:pPr>
            <w:r>
              <w:t>60</w:t>
            </w:r>
          </w:p>
        </w:tc>
        <w:tc>
          <w:tcPr>
            <w:tcW w:w="712" w:type="dxa"/>
            <w:shd w:val="clear" w:color="auto" w:fill="auto"/>
            <w:noWrap w:val="0"/>
            <w:vAlign w:val="top"/>
          </w:tcPr>
          <w:p>
            <w:pPr>
              <w:pStyle w:val="36"/>
              <w:rPr>
                <w:rFonts w:eastAsia="Yu Mincho"/>
              </w:rPr>
            </w:pPr>
          </w:p>
        </w:tc>
        <w:tc>
          <w:tcPr>
            <w:tcW w:w="705" w:type="dxa"/>
            <w:shd w:val="clear" w:color="auto" w:fill="auto"/>
            <w:noWrap w:val="0"/>
            <w:vAlign w:val="top"/>
          </w:tcPr>
          <w:p>
            <w:pPr>
              <w:pStyle w:val="36"/>
            </w:pPr>
            <w:r>
              <w:t>10</w:t>
            </w:r>
          </w:p>
        </w:tc>
        <w:tc>
          <w:tcPr>
            <w:tcW w:w="713" w:type="dxa"/>
            <w:shd w:val="clear" w:color="auto" w:fill="auto"/>
            <w:noWrap w:val="0"/>
            <w:vAlign w:val="center"/>
          </w:tcPr>
          <w:p>
            <w:pPr>
              <w:pStyle w:val="36"/>
            </w:pPr>
            <w:r>
              <w:t>15</w:t>
            </w:r>
          </w:p>
        </w:tc>
        <w:tc>
          <w:tcPr>
            <w:tcW w:w="709" w:type="dxa"/>
            <w:shd w:val="clear" w:color="auto" w:fill="auto"/>
            <w:noWrap w:val="0"/>
            <w:vAlign w:val="center"/>
          </w:tcPr>
          <w:p>
            <w:pPr>
              <w:pStyle w:val="36"/>
              <w:rPr>
                <w:rFonts w:eastAsia="Yu Mincho"/>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UE</w:t>
      </w:r>
      <w:r>
        <w:rPr>
          <w:rFonts w:hint="eastAsia"/>
          <w:lang w:val="en-US"/>
        </w:rPr>
        <w:t xml:space="preserve"> RF requirements</w:t>
      </w:r>
      <w:r>
        <w:rPr>
          <w:rFonts w:hint="eastAsia"/>
          <w:lang w:val="en-US" w:eastAsia="zh-CN"/>
        </w:rPr>
        <w:t xml:space="preserve"> for Introduction of the satellite L-/S-band</w:t>
      </w:r>
      <w:r>
        <w:rPr>
          <w:rFonts w:hint="eastAsia"/>
          <w:lang w:val="en-US"/>
        </w:rPr>
        <w:t xml:space="preserve">.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4"/>
      <w:bookmarkStart w:id="4" w:name="OLE_LINK20"/>
      <w:bookmarkStart w:id="5" w:name="OLE_LINK10"/>
      <w:bookmarkStart w:id="6" w:name="OLE_LINK13"/>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Operating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val="0"/>
          <w:bCs w:val="0"/>
          <w:i w:val="0"/>
          <w:iCs w:val="0"/>
          <w:lang w:val="en-US" w:eastAsia="zh-CN"/>
        </w:rPr>
        <w:t>The following agreement has been approved to reserve band n254 for WI NR_NTN_Lsband.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rPr>
                <w:b/>
                <w:highlight w:val="green"/>
                <w:lang w:val="en-US" w:eastAsia="zh-CN"/>
              </w:rPr>
            </w:pPr>
            <w:r>
              <w:rPr>
                <w:b/>
                <w:highlight w:val="green"/>
                <w:lang w:val="en-US" w:eastAsia="zh-CN"/>
              </w:rPr>
              <w:t xml:space="preserve">Agreement: </w:t>
            </w:r>
          </w:p>
          <w:p>
            <w:pPr>
              <w:pStyle w:val="34"/>
              <w:numPr>
                <w:ilvl w:val="0"/>
                <w:numId w:val="2"/>
              </w:numPr>
              <w:spacing w:after="180"/>
              <w:rPr>
                <w:rFonts w:hint="eastAsia"/>
                <w:b w:val="0"/>
                <w:bCs w:val="0"/>
                <w:i w:val="0"/>
                <w:iCs w:val="0"/>
                <w:vertAlign w:val="baseline"/>
                <w:lang w:val="en-US" w:eastAsia="zh-CN"/>
              </w:rPr>
            </w:pPr>
            <w:r>
              <w:rPr>
                <w:highlight w:val="none"/>
              </w:rPr>
              <w:t>n254 is reserved for the band defined for WI NR_NTN_LSband</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val="0"/>
          <w:bCs w:val="0"/>
          <w:i w:val="0"/>
          <w:iCs w:val="0"/>
          <w:lang w:val="en-US" w:eastAsia="zh-CN"/>
        </w:rPr>
        <w:t>According to the regulation of band number that the NTN satellite bands are numbered in descending order from n256, the reserved band number n254 should be applied to the new NTN FDD band with a UE transmitting at 1610-1626.5MHz and SAN transmitting at 2483.5-2500MHz.</w:t>
      </w:r>
    </w:p>
    <w:p>
      <w:pPr>
        <w:pStyle w:val="45"/>
      </w:pPr>
      <w:r>
        <w:t xml:space="preserve">Table </w:t>
      </w:r>
      <w:r>
        <w:rPr>
          <w:rFonts w:hint="eastAsia"/>
          <w:lang w:val="en-US" w:eastAsia="zh-CN"/>
        </w:rPr>
        <w:t>2</w:t>
      </w:r>
      <w:r>
        <w:t>.</w:t>
      </w:r>
      <w:r>
        <w:rPr>
          <w:rFonts w:hint="eastAsia"/>
          <w:lang w:val="en-US" w:eastAsia="zh-CN"/>
        </w:rPr>
        <w:t>1</w:t>
      </w:r>
      <w:r>
        <w:t xml:space="preserve">-1: </w:t>
      </w:r>
      <w:r>
        <w:rPr>
          <w:rFonts w:hint="eastAsia"/>
          <w:lang w:val="en-US" w:eastAsia="zh-CN"/>
        </w:rPr>
        <w:t>NTN satellite bands in FR1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5"/>
            </w:pPr>
            <w:r>
              <w:rPr>
                <w:szCs w:val="18"/>
              </w:rPr>
              <w:t xml:space="preserve">Satellite </w:t>
            </w:r>
            <w:r>
              <w:rPr>
                <w:i/>
              </w:rPr>
              <w:t>operating band</w:t>
            </w:r>
          </w:p>
        </w:tc>
        <w:tc>
          <w:tcPr>
            <w:tcW w:w="2607" w:type="dxa"/>
            <w:shd w:val="clear" w:color="auto" w:fill="auto"/>
          </w:tcPr>
          <w:p>
            <w:pPr>
              <w:pStyle w:val="35"/>
            </w:pPr>
            <w:r>
              <w:t xml:space="preserve">Uplink (UL) </w:t>
            </w:r>
            <w:r>
              <w:rPr>
                <w:i/>
              </w:rPr>
              <w:t>operating band</w:t>
            </w:r>
            <w:r>
              <w:br w:type="textWrapping"/>
            </w:r>
            <w:r>
              <w:rPr>
                <w:rFonts w:hint="eastAsia"/>
                <w:lang w:val="en-US" w:eastAsia="zh-CN"/>
              </w:rPr>
              <w:t>SAN</w:t>
            </w:r>
            <w:r>
              <w:t xml:space="preserve"> receive / UE transmit</w:t>
            </w:r>
          </w:p>
          <w:p>
            <w:pPr>
              <w:pStyle w:val="35"/>
            </w:pPr>
            <w:r>
              <w:t>F</w:t>
            </w:r>
            <w:r>
              <w:rPr>
                <w:vertAlign w:val="subscript"/>
              </w:rPr>
              <w:t>UL,low</w:t>
            </w:r>
            <w:r>
              <w:t xml:space="preserve">   –  F</w:t>
            </w:r>
            <w:r>
              <w:rPr>
                <w:vertAlign w:val="subscript"/>
              </w:rPr>
              <w:t>UL,high</w:t>
            </w:r>
          </w:p>
        </w:tc>
        <w:tc>
          <w:tcPr>
            <w:tcW w:w="2806" w:type="dxa"/>
            <w:shd w:val="clear" w:color="auto" w:fill="auto"/>
          </w:tcPr>
          <w:p>
            <w:pPr>
              <w:pStyle w:val="35"/>
            </w:pPr>
            <w:r>
              <w:t xml:space="preserve">Downlink (DL) </w:t>
            </w:r>
            <w:r>
              <w:rPr>
                <w:i/>
              </w:rPr>
              <w:t>operating band</w:t>
            </w:r>
            <w:r>
              <w:br w:type="textWrapping"/>
            </w:r>
            <w:r>
              <w:rPr>
                <w:rFonts w:hint="eastAsia"/>
                <w:lang w:val="en-US" w:eastAsia="zh-CN"/>
              </w:rPr>
              <w:t>SAN</w:t>
            </w:r>
            <w:r>
              <w:t xml:space="preserve"> transmit / UE receive</w:t>
            </w:r>
          </w:p>
          <w:p>
            <w:pPr>
              <w:pStyle w:val="35"/>
            </w:pPr>
            <w:r>
              <w:t>F</w:t>
            </w:r>
            <w:r>
              <w:rPr>
                <w:vertAlign w:val="subscript"/>
              </w:rPr>
              <w:t>DL,low</w:t>
            </w:r>
            <w:r>
              <w:t xml:space="preserve">   –  F</w:t>
            </w:r>
            <w:r>
              <w:rPr>
                <w:vertAlign w:val="subscript"/>
              </w:rPr>
              <w:t>DL,high</w:t>
            </w:r>
          </w:p>
        </w:tc>
        <w:tc>
          <w:tcPr>
            <w:tcW w:w="1286" w:type="dxa"/>
            <w:shd w:val="clear" w:color="auto" w:fill="auto"/>
          </w:tcPr>
          <w:p>
            <w:pPr>
              <w:pStyle w:val="35"/>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37" w:type="dxa"/>
            <w:shd w:val="clear" w:color="auto" w:fill="auto"/>
          </w:tcPr>
          <w:p>
            <w:pPr>
              <w:pStyle w:val="36"/>
              <w:rPr>
                <w:lang w:val="en-US" w:eastAsia="zh-CN"/>
              </w:rPr>
            </w:pPr>
            <w:r>
              <w:rPr>
                <w:rFonts w:hint="eastAsia"/>
                <w:lang w:val="en-US" w:eastAsia="zh-CN"/>
              </w:rPr>
              <w:t>n254</w:t>
            </w:r>
          </w:p>
        </w:tc>
        <w:tc>
          <w:tcPr>
            <w:tcW w:w="2607" w:type="dxa"/>
            <w:shd w:val="clear" w:color="auto" w:fill="auto"/>
          </w:tcPr>
          <w:p>
            <w:pPr>
              <w:pStyle w:val="36"/>
            </w:pPr>
            <w:r>
              <w:rPr>
                <w:rFonts w:hint="eastAsia"/>
              </w:rPr>
              <w:t>1610</w:t>
            </w:r>
            <w:r>
              <w:rPr>
                <w:rFonts w:hint="eastAsia" w:eastAsia="宋体"/>
                <w:lang w:val="en-US" w:eastAsia="zh-CN"/>
              </w:rPr>
              <w:t xml:space="preserve"> MHz</w:t>
            </w:r>
            <w:r>
              <w:rPr>
                <w:rFonts w:hint="eastAsia"/>
              </w:rPr>
              <w:t xml:space="preserve">-1626.5MHz </w:t>
            </w:r>
          </w:p>
        </w:tc>
        <w:tc>
          <w:tcPr>
            <w:tcW w:w="2806" w:type="dxa"/>
            <w:shd w:val="clear" w:color="auto" w:fill="auto"/>
          </w:tcPr>
          <w:p>
            <w:pPr>
              <w:pStyle w:val="36"/>
            </w:pPr>
            <w:r>
              <w:rPr>
                <w:rFonts w:hint="eastAsia"/>
              </w:rPr>
              <w:t>2483.5</w:t>
            </w:r>
            <w:r>
              <w:rPr>
                <w:rFonts w:hint="eastAsia" w:eastAsia="宋体"/>
                <w:lang w:val="en-US" w:eastAsia="zh-CN"/>
              </w:rPr>
              <w:t>MHz</w:t>
            </w:r>
            <w:r>
              <w:rPr>
                <w:rFonts w:hint="eastAsia"/>
              </w:rPr>
              <w:t>-2500MHz</w:t>
            </w:r>
          </w:p>
        </w:tc>
        <w:tc>
          <w:tcPr>
            <w:tcW w:w="1286" w:type="dxa"/>
            <w:shd w:val="clear" w:color="auto" w:fill="auto"/>
          </w:tcPr>
          <w:p>
            <w:pPr>
              <w:pStyle w:val="3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48"/>
            </w:pPr>
            <w:r>
              <w:t>NOTE:</w:t>
            </w:r>
            <w:r>
              <w:tab/>
            </w:r>
            <w:r>
              <w:t xml:space="preserve">Satellite </w:t>
            </w:r>
            <w:r>
              <w:rPr>
                <w:rFonts w:hint="eastAsia"/>
              </w:rPr>
              <w:t xml:space="preserve">bands are numbered in </w:t>
            </w:r>
            <w:r>
              <w:t>descending</w:t>
            </w:r>
            <w:r>
              <w:rPr>
                <w:rFonts w:hint="eastAsia"/>
              </w:rPr>
              <w:t xml:space="preserve"> order from n256.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NTN FDD band</w:t>
      </w:r>
      <w:bookmarkStart w:id="7" w:name="OLE_LINK2"/>
      <w:r>
        <w:rPr>
          <w:rFonts w:hint="eastAsia"/>
          <w:b w:val="0"/>
          <w:bCs w:val="0"/>
          <w:i w:val="0"/>
          <w:iCs w:val="0"/>
          <w:lang w:val="en-US" w:eastAsia="zh-CN"/>
        </w:rPr>
        <w:t xml:space="preserve"> with a UE transmitting at 1610-1626.5MHz and SAN transmitting at 2483.5-2500MHz should</w:t>
      </w:r>
      <w:bookmarkEnd w:id="7"/>
      <w:r>
        <w:rPr>
          <w:rFonts w:hint="eastAsia"/>
          <w:b w:val="0"/>
          <w:bCs w:val="0"/>
          <w:i w:val="0"/>
          <w:iCs w:val="0"/>
          <w:lang w:val="en-US" w:eastAsia="zh-CN"/>
        </w:rPr>
        <w:t xml:space="preserve"> be numbered as Table 2.1-1.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The type of satellites applied to n254</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According to the objective of WI NR_NTN_Lsband, the new band is not limited for GEO.</w:t>
      </w:r>
      <w:r>
        <w:rPr>
          <w:rFonts w:hint="eastAsia"/>
          <w:b w:val="0"/>
          <w:bCs w:val="0"/>
          <w:i w:val="0"/>
          <w:iCs w:val="0"/>
          <w:strike w:val="0"/>
          <w:dstrike w:val="0"/>
          <w:highlight w:val="none"/>
          <w:lang w:val="en-US" w:eastAsia="zh-CN"/>
        </w:rPr>
        <w:t xml:space="preserve"> There is no </w:t>
      </w:r>
      <w:r>
        <w:rPr>
          <w:rFonts w:hint="eastAsia"/>
          <w:b w:val="0"/>
          <w:bCs w:val="0"/>
          <w:i w:val="0"/>
          <w:iCs w:val="0"/>
          <w:lang w:val="en-US" w:eastAsia="zh-CN"/>
        </w:rPr>
        <w:t>technical reasons to indicate that the new band is not suitable for LEO, so the new band should not be limited for GEO, especially in early research stage.</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2:</w:t>
      </w:r>
      <w:r>
        <w:rPr>
          <w:rFonts w:hint="eastAsia"/>
          <w:b w:val="0"/>
          <w:bCs w:val="0"/>
          <w:i w:val="0"/>
          <w:iCs w:val="0"/>
          <w:lang w:val="en-US" w:eastAsia="zh-CN"/>
        </w:rPr>
        <w:t xml:space="preserve"> The NTN FDD band with a UE transmitting at 1610-1626.5MHz and SAN transmitting at 2483.5-2500MHz should not be limited for GEO.</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UE channel bandwidth per operating band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The wider bandwidth can be used to schedule multiple users and the feasibility for wider bandwidth will not be affected. Therefore, a</w:t>
      </w:r>
      <w:r>
        <w:rPr>
          <w:rFonts w:hint="eastAsia"/>
          <w:b w:val="0"/>
          <w:bCs w:val="0"/>
          <w:i w:val="0"/>
          <w:iCs w:val="0"/>
          <w:lang w:val="en-US" w:eastAsia="zh-CN"/>
        </w:rPr>
        <w:t xml:space="preserve">ccording to the </w:t>
      </w:r>
      <w:r>
        <w:rPr>
          <w:rFonts w:hint="eastAsia" w:cs="Times New Roman"/>
          <w:kern w:val="2"/>
          <w:sz w:val="21"/>
          <w:szCs w:val="22"/>
          <w:highlight w:val="none"/>
          <w:lang w:val="en-US" w:eastAsia="zh-CN" w:bidi="ar-SA"/>
        </w:rPr>
        <w:t>WID objective, the supported channel bandwidths and SCS of band n254 can be defined as Table 2.2-1.</w:t>
      </w:r>
    </w:p>
    <w:p>
      <w:pPr>
        <w:pStyle w:val="45"/>
      </w:pPr>
      <w:r>
        <w:t xml:space="preserve">Table </w:t>
      </w:r>
      <w:r>
        <w:rPr>
          <w:rFonts w:hint="eastAsia"/>
          <w:lang w:val="en-US" w:eastAsia="zh-CN"/>
        </w:rPr>
        <w:t>2.2</w:t>
      </w:r>
      <w:r>
        <w:t xml:space="preserve">-1: </w:t>
      </w:r>
      <w:r>
        <w:rPr>
          <w:rFonts w:hint="eastAsia"/>
          <w:i/>
        </w:rPr>
        <w:t>Channel bandwidths for each NTN satellite band</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091"/>
        <w:gridCol w:w="959"/>
        <w:gridCol w:w="984"/>
        <w:gridCol w:w="951"/>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34" w:type="dxa"/>
            <w:vMerge w:val="restart"/>
            <w:vAlign w:val="center"/>
          </w:tcPr>
          <w:p>
            <w:pPr>
              <w:pStyle w:val="35"/>
            </w:pPr>
            <w:r>
              <w:rPr>
                <w:rFonts w:hint="eastAsia"/>
                <w:lang w:eastAsia="zh-CN"/>
              </w:rPr>
              <w:t>SAN Operating</w:t>
            </w:r>
            <w:r>
              <w:t xml:space="preserve"> Band</w:t>
            </w:r>
          </w:p>
        </w:tc>
        <w:tc>
          <w:tcPr>
            <w:tcW w:w="1091" w:type="dxa"/>
            <w:vMerge w:val="restart"/>
            <w:vAlign w:val="center"/>
          </w:tcPr>
          <w:p>
            <w:pPr>
              <w:pStyle w:val="35"/>
            </w:pPr>
            <w:r>
              <w:t>SCS</w:t>
            </w:r>
            <w:r>
              <w:rPr>
                <w:rFonts w:hint="eastAsia"/>
                <w:lang w:eastAsia="zh-CN"/>
              </w:rPr>
              <w:t xml:space="preserve"> </w:t>
            </w:r>
            <w:r>
              <w:rPr>
                <w:lang w:eastAsia="zh-CN"/>
              </w:rPr>
              <w:t>(</w:t>
            </w:r>
            <w:r>
              <w:t>kHz)</w:t>
            </w:r>
          </w:p>
        </w:tc>
        <w:tc>
          <w:tcPr>
            <w:tcW w:w="3794" w:type="dxa"/>
            <w:gridSpan w:val="4"/>
          </w:tcPr>
          <w:p>
            <w:pPr>
              <w:pStyle w:val="35"/>
            </w:pPr>
            <w:r>
              <w:rPr>
                <w:i/>
              </w:rPr>
              <w:t>SAN</w:t>
            </w:r>
            <w:r>
              <w:rPr>
                <w:rFonts w:hint="eastAsia"/>
                <w:i/>
                <w:lang w:eastAsia="zh-CN"/>
              </w:rPr>
              <w:t xml:space="preserve"> </w:t>
            </w: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34" w:type="dxa"/>
            <w:vMerge w:val="continue"/>
            <w:vAlign w:val="center"/>
          </w:tcPr>
          <w:p>
            <w:pPr>
              <w:pStyle w:val="35"/>
            </w:pPr>
          </w:p>
        </w:tc>
        <w:tc>
          <w:tcPr>
            <w:tcW w:w="1091" w:type="dxa"/>
            <w:vMerge w:val="continue"/>
            <w:vAlign w:val="center"/>
          </w:tcPr>
          <w:p>
            <w:pPr>
              <w:pStyle w:val="35"/>
            </w:pPr>
          </w:p>
        </w:tc>
        <w:tc>
          <w:tcPr>
            <w:tcW w:w="959" w:type="dxa"/>
            <w:vAlign w:val="center"/>
          </w:tcPr>
          <w:p>
            <w:pPr>
              <w:pStyle w:val="35"/>
              <w:rPr>
                <w:lang w:eastAsia="zh-CN"/>
              </w:rPr>
            </w:pPr>
            <w:r>
              <w:rPr>
                <w:rFonts w:hint="eastAsia"/>
                <w:lang w:eastAsia="zh-CN"/>
              </w:rPr>
              <w:t>5</w:t>
            </w:r>
          </w:p>
        </w:tc>
        <w:tc>
          <w:tcPr>
            <w:tcW w:w="984" w:type="dxa"/>
            <w:vAlign w:val="center"/>
          </w:tcPr>
          <w:p>
            <w:pPr>
              <w:pStyle w:val="35"/>
              <w:rPr>
                <w:lang w:eastAsia="zh-CN"/>
              </w:rPr>
            </w:pPr>
            <w:r>
              <w:rPr>
                <w:rFonts w:hint="eastAsia"/>
                <w:lang w:eastAsia="zh-CN"/>
              </w:rPr>
              <w:t>1</w:t>
            </w:r>
            <w:r>
              <w:rPr>
                <w:lang w:eastAsia="zh-CN"/>
              </w:rPr>
              <w:t>0</w:t>
            </w:r>
          </w:p>
        </w:tc>
        <w:tc>
          <w:tcPr>
            <w:tcW w:w="951" w:type="dxa"/>
            <w:vAlign w:val="center"/>
          </w:tcPr>
          <w:p>
            <w:pPr>
              <w:pStyle w:val="35"/>
              <w:rPr>
                <w:lang w:eastAsia="zh-CN"/>
              </w:rPr>
            </w:pPr>
            <w:r>
              <w:rPr>
                <w:rFonts w:hint="eastAsia"/>
                <w:lang w:eastAsia="zh-CN"/>
              </w:rPr>
              <w:t>1</w:t>
            </w:r>
            <w:r>
              <w:rPr>
                <w:lang w:eastAsia="zh-CN"/>
              </w:rPr>
              <w:t>5</w:t>
            </w:r>
          </w:p>
        </w:tc>
        <w:tc>
          <w:tcPr>
            <w:tcW w:w="900" w:type="dxa"/>
            <w:vAlign w:val="center"/>
          </w:tcPr>
          <w:p>
            <w:pPr>
              <w:pStyle w:val="35"/>
              <w:rPr>
                <w:lang w:eastAsia="zh-CN"/>
              </w:rPr>
            </w:pPr>
            <w:r>
              <w:rPr>
                <w:rFonts w:hint="eastAsia"/>
                <w:lang w:eastAsia="zh-CN"/>
              </w:rPr>
              <w:t>2</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bottom w:val="nil"/>
            </w:tcBorders>
            <w:vAlign w:val="center"/>
          </w:tcPr>
          <w:p>
            <w:pPr>
              <w:pStyle w:val="36"/>
            </w:pPr>
          </w:p>
        </w:tc>
        <w:tc>
          <w:tcPr>
            <w:tcW w:w="1091" w:type="dxa"/>
            <w:vAlign w:val="center"/>
          </w:tcPr>
          <w:p>
            <w:pPr>
              <w:pStyle w:val="36"/>
            </w:pPr>
            <w:r>
              <w:t>15</w:t>
            </w:r>
          </w:p>
        </w:tc>
        <w:tc>
          <w:tcPr>
            <w:tcW w:w="959" w:type="dxa"/>
            <w:vAlign w:val="top"/>
          </w:tcPr>
          <w:p>
            <w:pPr>
              <w:pStyle w:val="36"/>
              <w:rPr>
                <w:rFonts w:ascii="Arial" w:hAnsi="Arial" w:eastAsia="Yu Mincho" w:cs="Times New Roman"/>
                <w:kern w:val="0"/>
                <w:sz w:val="18"/>
                <w:szCs w:val="20"/>
                <w:lang w:val="en-GB" w:eastAsia="ja-JP" w:bidi="ar-SA"/>
              </w:rPr>
            </w:pPr>
            <w:r>
              <w:t>5</w:t>
            </w:r>
          </w:p>
        </w:tc>
        <w:tc>
          <w:tcPr>
            <w:tcW w:w="984" w:type="dxa"/>
            <w:vAlign w:val="center"/>
          </w:tcPr>
          <w:p>
            <w:pPr>
              <w:pStyle w:val="36"/>
              <w:rPr>
                <w:rFonts w:ascii="Arial" w:hAnsi="Arial" w:eastAsia="Yu Mincho" w:cs="Times New Roman"/>
                <w:kern w:val="0"/>
                <w:sz w:val="18"/>
                <w:szCs w:val="20"/>
                <w:lang w:val="en-GB" w:eastAsia="ja-JP" w:bidi="ar-SA"/>
              </w:rPr>
            </w:pPr>
            <w:r>
              <w:t>10</w:t>
            </w:r>
          </w:p>
        </w:tc>
        <w:tc>
          <w:tcPr>
            <w:tcW w:w="951" w:type="dxa"/>
            <w:vAlign w:val="center"/>
          </w:tcPr>
          <w:p>
            <w:pPr>
              <w:pStyle w:val="36"/>
              <w:rPr>
                <w:rFonts w:ascii="Arial" w:hAnsi="Arial" w:eastAsia="Yu Mincho" w:cs="Times New Roman"/>
                <w:kern w:val="0"/>
                <w:sz w:val="18"/>
                <w:szCs w:val="20"/>
                <w:lang w:val="en-GB" w:eastAsia="ja-JP" w:bidi="ar-SA"/>
              </w:rPr>
            </w:pPr>
            <w:r>
              <w:t>15</w:t>
            </w:r>
          </w:p>
        </w:tc>
        <w:tc>
          <w:tcPr>
            <w:tcW w:w="900" w:type="dxa"/>
            <w:vAlign w:val="center"/>
          </w:tcPr>
          <w:p>
            <w:pPr>
              <w:pStyle w:val="3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nil"/>
              <w:bottom w:val="nil"/>
            </w:tcBorders>
            <w:vAlign w:val="center"/>
          </w:tcPr>
          <w:p>
            <w:pPr>
              <w:pStyle w:val="36"/>
              <w:rPr>
                <w:lang w:eastAsia="zh-CN"/>
              </w:rPr>
            </w:pPr>
            <w:r>
              <w:t>n2</w:t>
            </w:r>
            <w:r>
              <w:rPr>
                <w:rFonts w:hint="eastAsia"/>
                <w:lang w:eastAsia="zh-CN"/>
              </w:rPr>
              <w:t>5</w:t>
            </w:r>
            <w:r>
              <w:rPr>
                <w:rFonts w:hint="eastAsia"/>
                <w:lang w:val="en-US" w:eastAsia="zh-CN"/>
              </w:rPr>
              <w:t>4</w:t>
            </w:r>
          </w:p>
        </w:tc>
        <w:tc>
          <w:tcPr>
            <w:tcW w:w="1091" w:type="dxa"/>
            <w:vAlign w:val="center"/>
          </w:tcPr>
          <w:p>
            <w:pPr>
              <w:pStyle w:val="36"/>
            </w:pPr>
            <w:r>
              <w:t>30</w:t>
            </w:r>
          </w:p>
        </w:tc>
        <w:tc>
          <w:tcPr>
            <w:tcW w:w="959" w:type="dxa"/>
            <w:vAlign w:val="top"/>
          </w:tcPr>
          <w:p>
            <w:pPr>
              <w:pStyle w:val="36"/>
              <w:rPr>
                <w:rFonts w:ascii="Arial" w:hAnsi="Arial" w:eastAsia="Yu Mincho" w:cs="Times New Roman"/>
                <w:kern w:val="0"/>
                <w:sz w:val="18"/>
                <w:szCs w:val="20"/>
                <w:lang w:val="en-GB" w:eastAsia="ja-JP" w:bidi="ar-SA"/>
              </w:rPr>
            </w:pPr>
          </w:p>
        </w:tc>
        <w:tc>
          <w:tcPr>
            <w:tcW w:w="984" w:type="dxa"/>
            <w:vAlign w:val="top"/>
          </w:tcPr>
          <w:p>
            <w:pPr>
              <w:pStyle w:val="36"/>
              <w:rPr>
                <w:rFonts w:ascii="Arial" w:hAnsi="Arial" w:eastAsia="Yu Mincho" w:cs="Times New Roman"/>
                <w:kern w:val="0"/>
                <w:sz w:val="18"/>
                <w:szCs w:val="20"/>
                <w:lang w:val="en-GB" w:eastAsia="ja-JP" w:bidi="ar-SA"/>
              </w:rPr>
            </w:pPr>
            <w:r>
              <w:t>10</w:t>
            </w:r>
          </w:p>
        </w:tc>
        <w:tc>
          <w:tcPr>
            <w:tcW w:w="951" w:type="dxa"/>
            <w:vAlign w:val="center"/>
          </w:tcPr>
          <w:p>
            <w:pPr>
              <w:pStyle w:val="36"/>
              <w:rPr>
                <w:rFonts w:ascii="Arial" w:hAnsi="Arial" w:eastAsia="Yu Mincho" w:cs="Times New Roman"/>
                <w:kern w:val="0"/>
                <w:sz w:val="18"/>
                <w:szCs w:val="20"/>
                <w:lang w:val="en-GB" w:eastAsia="ja-JP" w:bidi="ar-SA"/>
              </w:rPr>
            </w:pPr>
            <w:r>
              <w:t>15</w:t>
            </w:r>
          </w:p>
        </w:tc>
        <w:tc>
          <w:tcPr>
            <w:tcW w:w="900" w:type="dxa"/>
            <w:vAlign w:val="center"/>
          </w:tcPr>
          <w:p>
            <w:pPr>
              <w:pStyle w:val="3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nil"/>
            </w:tcBorders>
            <w:vAlign w:val="center"/>
          </w:tcPr>
          <w:p>
            <w:pPr>
              <w:pStyle w:val="36"/>
            </w:pPr>
          </w:p>
        </w:tc>
        <w:tc>
          <w:tcPr>
            <w:tcW w:w="1091" w:type="dxa"/>
            <w:vAlign w:val="center"/>
          </w:tcPr>
          <w:p>
            <w:pPr>
              <w:pStyle w:val="36"/>
            </w:pPr>
            <w:r>
              <w:t>60</w:t>
            </w:r>
          </w:p>
        </w:tc>
        <w:tc>
          <w:tcPr>
            <w:tcW w:w="959" w:type="dxa"/>
            <w:vAlign w:val="top"/>
          </w:tcPr>
          <w:p>
            <w:pPr>
              <w:pStyle w:val="36"/>
              <w:rPr>
                <w:rFonts w:ascii="Arial" w:hAnsi="Arial" w:eastAsia="Yu Mincho" w:cs="Times New Roman"/>
                <w:kern w:val="0"/>
                <w:sz w:val="18"/>
                <w:szCs w:val="20"/>
                <w:lang w:val="en-GB" w:eastAsia="ja-JP" w:bidi="ar-SA"/>
              </w:rPr>
            </w:pPr>
          </w:p>
        </w:tc>
        <w:tc>
          <w:tcPr>
            <w:tcW w:w="984" w:type="dxa"/>
            <w:vAlign w:val="top"/>
          </w:tcPr>
          <w:p>
            <w:pPr>
              <w:pStyle w:val="36"/>
              <w:rPr>
                <w:rFonts w:ascii="Arial" w:hAnsi="Arial" w:eastAsia="Times New Roman" w:cs="Times New Roman"/>
                <w:kern w:val="0"/>
                <w:sz w:val="18"/>
                <w:szCs w:val="20"/>
                <w:lang w:val="en-GB" w:eastAsia="ja-JP" w:bidi="ar-SA"/>
              </w:rPr>
            </w:pPr>
            <w:r>
              <w:t>10</w:t>
            </w:r>
          </w:p>
        </w:tc>
        <w:tc>
          <w:tcPr>
            <w:tcW w:w="951" w:type="dxa"/>
            <w:vAlign w:val="center"/>
          </w:tcPr>
          <w:p>
            <w:pPr>
              <w:pStyle w:val="36"/>
              <w:rPr>
                <w:rFonts w:ascii="Arial" w:hAnsi="Arial" w:eastAsia="Times New Roman" w:cs="Times New Roman"/>
                <w:kern w:val="0"/>
                <w:sz w:val="18"/>
                <w:szCs w:val="20"/>
                <w:lang w:val="en-GB" w:eastAsia="ja-JP" w:bidi="ar-SA"/>
              </w:rPr>
            </w:pPr>
            <w:r>
              <w:t>15</w:t>
            </w:r>
          </w:p>
        </w:tc>
        <w:tc>
          <w:tcPr>
            <w:tcW w:w="900" w:type="dxa"/>
            <w:vAlign w:val="center"/>
          </w:tcPr>
          <w:p>
            <w:pPr>
              <w:pStyle w:val="36"/>
              <w:rPr>
                <w:rFonts w:eastAsia="Yu Mincho"/>
              </w:rPr>
            </w:pP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3:</w:t>
      </w:r>
      <w:r>
        <w:rPr>
          <w:rFonts w:hint="eastAsia"/>
          <w:b w:val="0"/>
          <w:bCs w:val="0"/>
          <w:i w:val="0"/>
          <w:iCs w:val="0"/>
          <w:lang w:val="en-US" w:eastAsia="zh-CN"/>
        </w:rPr>
        <w:t xml:space="preserve"> For the NTN FDD band with a UE transmitting at 1610-1626.5MHz and SAN transmitting at 2483.5-2500MHz, the UE channel bandwidth per operating band should be defined as Table 2.2-1.</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outlineLvl w:val="2"/>
        <w:rPr>
          <w:rFonts w:hint="eastAsia" w:ascii="Arial" w:hAnsi="Arial" w:cs="Arial"/>
          <w:b w:val="0"/>
          <w:bCs w:val="0"/>
          <w:i w:val="0"/>
          <w:iCs w:val="0"/>
          <w:sz w:val="28"/>
          <w:szCs w:val="28"/>
          <w:lang w:val="en-US" w:eastAsia="zh-CN"/>
        </w:rPr>
      </w:pPr>
      <w:r>
        <w:rPr>
          <w:rFonts w:hint="eastAsia" w:ascii="Arial" w:hAnsi="Arial" w:cs="Arial"/>
          <w:sz w:val="28"/>
          <w:szCs w:val="28"/>
          <w:lang w:val="en-US" w:eastAsia="zh-CN"/>
        </w:rPr>
        <w:t xml:space="preserve">2.3.1 </w:t>
      </w:r>
      <w:r>
        <w:rPr>
          <w:rFonts w:hint="eastAsia" w:ascii="Arial" w:hAnsi="Arial" w:cs="Arial"/>
          <w:sz w:val="28"/>
          <w:szCs w:val="28"/>
        </w:rPr>
        <w:t>Asymmetric channel bandwidths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eastAsia="宋体"/>
          <w:b w:val="0"/>
          <w:bCs w:val="0"/>
          <w:i w:val="0"/>
          <w:iCs w:val="0"/>
          <w:lang w:val="en-US" w:eastAsia="zh-CN"/>
        </w:rPr>
      </w:pPr>
      <w:r>
        <w:rPr>
          <w:rFonts w:hint="eastAsia"/>
          <w:b w:val="0"/>
          <w:bCs w:val="0"/>
          <w:i w:val="0"/>
          <w:iCs w:val="0"/>
          <w:lang w:val="en-US" w:eastAsia="zh-CN"/>
        </w:rPr>
        <w:t xml:space="preserve">The following </w:t>
      </w:r>
      <w:r>
        <w:rPr>
          <w:rFonts w:hint="eastAsia"/>
        </w:rPr>
        <w:t xml:space="preserve">proposal was listed in </w:t>
      </w:r>
      <w:r>
        <w:rPr>
          <w:rFonts w:hint="eastAsia"/>
          <w:lang w:val="en-US" w:eastAsia="zh-CN"/>
        </w:rPr>
        <w:t>Topic summary[2]:</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4"/>
              <w:keepNext w:val="0"/>
              <w:keepLines w:val="0"/>
              <w:pageBreakBefore w:val="0"/>
              <w:widowControl w:val="0"/>
              <w:numPr>
                <w:ilvl w:val="-1"/>
                <w:numId w:val="0"/>
              </w:numPr>
              <w:kinsoku/>
              <w:wordWrap/>
              <w:overflowPunct/>
              <w:topLinePunct w:val="0"/>
              <w:autoSpaceDE/>
              <w:autoSpaceDN/>
              <w:bidi w:val="0"/>
              <w:adjustRightInd/>
              <w:snapToGrid/>
              <w:spacing w:before="313" w:beforeLines="100" w:after="120" w:afterLines="50"/>
              <w:ind w:left="0" w:leftChars="0" w:firstLine="0" w:firstLineChars="0"/>
              <w:textAlignment w:val="auto"/>
              <w:outlineLvl w:val="1"/>
              <w:rPr>
                <w:rFonts w:hint="eastAsia" w:ascii="Times New Roman" w:hAnsi="Times New Roman" w:eastAsia="宋体" w:cs="Times New Roman"/>
                <w:b w:val="0"/>
                <w:bCs w:val="0"/>
                <w:lang w:val="en-US" w:eastAsia="zh-CN"/>
              </w:rPr>
            </w:pPr>
            <w:r>
              <w:rPr>
                <w:rFonts w:hint="eastAsia" w:ascii="Times New Roman" w:hAnsi="Times New Roman" w:eastAsia="宋体" w:cs="Times New Roman"/>
                <w:b w:val="0"/>
                <w:bCs w:val="0"/>
                <w:lang w:val="en-US" w:eastAsia="ko-KR"/>
              </w:rPr>
              <w:t>Asymmetric channel bandwidth combinations</w:t>
            </w:r>
            <w:r>
              <w:rPr>
                <w:rFonts w:hint="eastAsia" w:cs="Times New Roman"/>
                <w:b w:val="0"/>
                <w:bCs w:val="0"/>
                <w:lang w:val="en-US" w:eastAsia="zh-CN"/>
              </w:rPr>
              <w:t>:</w:t>
            </w:r>
          </w:p>
          <w:p>
            <w:pPr>
              <w:pStyle w:val="34"/>
              <w:numPr>
                <w:ilvl w:val="1"/>
                <w:numId w:val="3"/>
              </w:numPr>
              <w:overflowPunct/>
              <w:autoSpaceDE/>
              <w:autoSpaceDN/>
              <w:adjustRightInd/>
              <w:spacing w:after="120"/>
              <w:ind w:left="640" w:firstLineChars="0"/>
              <w:textAlignment w:val="auto"/>
              <w:rPr>
                <w:rFonts w:eastAsia="宋体"/>
                <w:color w:val="auto"/>
                <w:szCs w:val="24"/>
                <w:lang w:val="en-US" w:eastAsia="zh-CN"/>
              </w:rPr>
            </w:pPr>
            <w:r>
              <w:rPr>
                <w:rFonts w:eastAsia="宋体"/>
                <w:color w:val="auto"/>
                <w:szCs w:val="24"/>
                <w:lang w:val="en-US" w:eastAsia="zh-CN"/>
              </w:rPr>
              <w:t>Option 1: Introduce 5+10MHz, 5+15MHz, and 10+15MHz UL/DL asymmetric channel combinations for the new NTN band.</w:t>
            </w:r>
          </w:p>
          <w:p>
            <w:pPr>
              <w:pStyle w:val="34"/>
              <w:keepNext w:val="0"/>
              <w:keepLines w:val="0"/>
              <w:pageBreakBefore w:val="0"/>
              <w:widowControl w:val="0"/>
              <w:numPr>
                <w:ilvl w:val="1"/>
                <w:numId w:val="3"/>
              </w:numPr>
              <w:suppressLineNumbers w:val="0"/>
              <w:kinsoku/>
              <w:wordWrap/>
              <w:overflowPunct/>
              <w:topLinePunct w:val="0"/>
              <w:autoSpaceDE/>
              <w:autoSpaceDN/>
              <w:bidi w:val="0"/>
              <w:adjustRightInd/>
              <w:snapToGrid/>
              <w:spacing w:before="120" w:beforeLines="0" w:after="120" w:afterLines="0" w:line="240" w:lineRule="auto"/>
              <w:ind w:left="640" w:hanging="360" w:firstLineChars="0"/>
              <w:jc w:val="both"/>
              <w:textAlignment w:val="auto"/>
              <w:rPr>
                <w:rFonts w:hint="default"/>
                <w:b w:val="0"/>
                <w:bCs w:val="0"/>
                <w:i w:val="0"/>
                <w:iCs w:val="0"/>
                <w:vertAlign w:val="baseline"/>
                <w:lang w:val="en-US" w:eastAsia="zh-CN"/>
              </w:rPr>
            </w:pPr>
            <w:r>
              <w:rPr>
                <w:rFonts w:eastAsia="宋体"/>
                <w:color w:val="auto"/>
                <w:szCs w:val="24"/>
                <w:lang w:val="en-US" w:eastAsia="zh-CN"/>
              </w:rPr>
              <w:t>Option 2: (none at this meeting)</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introduction of asymmetric channel bandwidth combinations can reduce the complexity of UE implementation. We are open to this feature and this feature can be further studied.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4:</w:t>
      </w:r>
      <w:r>
        <w:rPr>
          <w:rFonts w:hint="eastAsia"/>
          <w:b w:val="0"/>
          <w:bCs w:val="0"/>
          <w:i w:val="0"/>
          <w:iCs w:val="0"/>
          <w:lang w:val="en-US" w:eastAsia="zh-CN"/>
        </w:rPr>
        <w:t xml:space="preserve"> The introduction of asymmetric channel bandwidth combinations can be further studied.</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2.4 Channel raster entries for each operating band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According to the WID objective, the granularity of the channel raster is 100kHz and the granularity of the global frequency raster is 5kHz. Therefore, the NR-ARFCN can be defined as Table 2.3-1.</w:t>
      </w:r>
    </w:p>
    <w:p>
      <w:pPr>
        <w:pStyle w:val="45"/>
      </w:pPr>
      <w:r>
        <w:t xml:space="preserve">Table 2.3-1: </w:t>
      </w:r>
      <w:r>
        <w:rPr>
          <w:rFonts w:hint="eastAsia" w:eastAsia="Yu Mincho"/>
        </w:rPr>
        <w:t>Applicable NR-ARFCN per operating 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35"/>
              <w:rPr>
                <w:rFonts w:eastAsia="Yu Mincho"/>
              </w:rPr>
            </w:pPr>
            <w:r>
              <w:t>SAN operating band</w:t>
            </w:r>
          </w:p>
        </w:tc>
        <w:tc>
          <w:tcPr>
            <w:tcW w:w="1146" w:type="dxa"/>
            <w:shd w:val="clear" w:color="auto" w:fill="auto"/>
          </w:tcPr>
          <w:p>
            <w:pPr>
              <w:pStyle w:val="35"/>
            </w:pPr>
            <w:r>
              <w:t>ΔF</w:t>
            </w:r>
            <w:r>
              <w:rPr>
                <w:vertAlign w:val="subscript"/>
              </w:rPr>
              <w:t>Raster</w:t>
            </w:r>
          </w:p>
          <w:p>
            <w:pPr>
              <w:pStyle w:val="35"/>
            </w:pPr>
            <w:r>
              <w:t xml:space="preserve">(kHz) </w:t>
            </w:r>
          </w:p>
        </w:tc>
        <w:tc>
          <w:tcPr>
            <w:tcW w:w="2876" w:type="dxa"/>
            <w:shd w:val="clear" w:color="auto" w:fill="auto"/>
          </w:tcPr>
          <w:p>
            <w:pPr>
              <w:pStyle w:val="35"/>
              <w:rPr>
                <w:rFonts w:eastAsia="Yu Mincho"/>
              </w:rPr>
            </w:pPr>
            <w:r>
              <w:rPr>
                <w:rFonts w:eastAsia="Yu Mincho"/>
              </w:rPr>
              <w:t>Uplink</w:t>
            </w:r>
          </w:p>
          <w:p>
            <w:pPr>
              <w:pStyle w:val="35"/>
              <w:rPr>
                <w:rFonts w:eastAsia="Yu Mincho"/>
                <w:vertAlign w:val="subscript"/>
              </w:rPr>
            </w:pPr>
            <w:r>
              <w:rPr>
                <w:rFonts w:eastAsia="Yu Mincho"/>
              </w:rPr>
              <w:t>range of N</w:t>
            </w:r>
            <w:r>
              <w:rPr>
                <w:rFonts w:eastAsia="Yu Mincho"/>
                <w:vertAlign w:val="subscript"/>
              </w:rPr>
              <w:t>REF</w:t>
            </w:r>
          </w:p>
          <w:p>
            <w:pPr>
              <w:pStyle w:val="35"/>
              <w:rPr>
                <w:rFonts w:eastAsia="Yu Mincho"/>
              </w:rPr>
            </w:pPr>
            <w:r>
              <w:rPr>
                <w:rFonts w:eastAsia="Yu Mincho"/>
              </w:rPr>
              <w:t>(First – &lt;Step size&gt; – Last)</w:t>
            </w:r>
          </w:p>
        </w:tc>
        <w:tc>
          <w:tcPr>
            <w:tcW w:w="2877" w:type="dxa"/>
            <w:shd w:val="clear" w:color="auto" w:fill="auto"/>
          </w:tcPr>
          <w:p>
            <w:pPr>
              <w:pStyle w:val="35"/>
              <w:rPr>
                <w:rFonts w:eastAsia="Yu Mincho"/>
              </w:rPr>
            </w:pPr>
            <w:r>
              <w:rPr>
                <w:rFonts w:eastAsia="Yu Mincho"/>
              </w:rPr>
              <w:t>Downlink</w:t>
            </w:r>
          </w:p>
          <w:p>
            <w:pPr>
              <w:pStyle w:val="35"/>
              <w:rPr>
                <w:rFonts w:eastAsia="Yu Mincho"/>
                <w:vertAlign w:val="subscript"/>
              </w:rPr>
            </w:pPr>
            <w:r>
              <w:rPr>
                <w:rFonts w:eastAsia="Yu Mincho"/>
              </w:rPr>
              <w:t>range of N</w:t>
            </w:r>
            <w:r>
              <w:rPr>
                <w:rFonts w:eastAsia="Yu Mincho"/>
                <w:vertAlign w:val="subscript"/>
              </w:rPr>
              <w:t>REF</w:t>
            </w:r>
          </w:p>
          <w:p>
            <w:pPr>
              <w:pStyle w:val="3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36"/>
            </w:pPr>
            <w:r>
              <w:rPr>
                <w:rFonts w:hint="eastAsia"/>
                <w:lang w:eastAsia="zh-CN"/>
              </w:rPr>
              <w:t>n</w:t>
            </w:r>
            <w:r>
              <w:t>2</w:t>
            </w:r>
            <w:r>
              <w:rPr>
                <w:rFonts w:hint="eastAsia"/>
                <w:lang w:eastAsia="zh-CN"/>
              </w:rPr>
              <w:t>5</w:t>
            </w:r>
            <w:r>
              <w:rPr>
                <w:rFonts w:hint="eastAsia"/>
                <w:lang w:val="en-US" w:eastAsia="zh-CN"/>
              </w:rPr>
              <w:t>4</w:t>
            </w:r>
          </w:p>
        </w:tc>
        <w:tc>
          <w:tcPr>
            <w:tcW w:w="1146" w:type="dxa"/>
            <w:shd w:val="clear" w:color="auto" w:fill="auto"/>
          </w:tcPr>
          <w:p>
            <w:pPr>
              <w:pStyle w:val="36"/>
              <w:rPr>
                <w:rFonts w:eastAsia="Yu Mincho"/>
              </w:rPr>
            </w:pPr>
            <w:r>
              <w:rPr>
                <w:rFonts w:eastAsia="Yu Mincho"/>
              </w:rPr>
              <w:t>100</w:t>
            </w:r>
          </w:p>
        </w:tc>
        <w:tc>
          <w:tcPr>
            <w:tcW w:w="2876" w:type="dxa"/>
            <w:shd w:val="clear" w:color="auto" w:fill="auto"/>
          </w:tcPr>
          <w:p>
            <w:pPr>
              <w:pStyle w:val="36"/>
              <w:rPr>
                <w:rFonts w:hint="default"/>
                <w:lang w:val="en-US"/>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pPr>
              <w:pStyle w:val="36"/>
              <w:rPr>
                <w:rFonts w:hint="default"/>
                <w:lang w:val="en-US"/>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5:</w:t>
      </w:r>
      <w:r>
        <w:rPr>
          <w:rFonts w:hint="eastAsia"/>
          <w:b w:val="0"/>
          <w:bCs w:val="0"/>
          <w:i w:val="0"/>
          <w:iCs w:val="0"/>
          <w:lang w:val="en-US" w:eastAsia="zh-CN"/>
        </w:rPr>
        <w:t xml:space="preserve"> For the NTN FDD band with a UE transmitting at 1610-1626.5MHz and SAN transmitting at 2483.5-2500MHz, the NR-ARFCN should be defined as Table 2.3-1.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2.5 Synchronization raster entries for each operating band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detailed spectrum status between NTN band and surrounding TN bands are shown as following Figure 2.1-1.</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60085" cy="1435100"/>
            <wp:effectExtent l="0" t="0" r="63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760085" cy="1435100"/>
                    </a:xfrm>
                    <a:prstGeom prst="rect">
                      <a:avLst/>
                    </a:prstGeom>
                    <a:noFill/>
                    <a:ln w="9525">
                      <a:noFill/>
                    </a:ln>
                  </pic:spPr>
                </pic:pic>
              </a:graphicData>
            </a:graphic>
          </wp:inline>
        </w:drawing>
      </w:r>
    </w:p>
    <w:p>
      <w:pPr>
        <w:keepNext w:val="0"/>
        <w:keepLines w:val="0"/>
        <w:widowControl/>
        <w:suppressLineNumbers w:val="0"/>
        <w:jc w:val="center"/>
        <w:rPr>
          <w:rFonts w:hint="default" w:ascii="Arial" w:hAnsi="Arial" w:eastAsia="宋体" w:cs="Arial"/>
          <w:b/>
          <w:bCs/>
          <w:kern w:val="0"/>
          <w:sz w:val="20"/>
          <w:szCs w:val="20"/>
          <w:lang w:val="en-US" w:eastAsia="zh-CN" w:bidi="ar"/>
        </w:rPr>
      </w:pPr>
      <w:r>
        <w:rPr>
          <w:rFonts w:hint="default" w:ascii="Arial" w:hAnsi="Arial" w:eastAsia="宋体" w:cs="Arial"/>
          <w:b/>
          <w:bCs/>
          <w:kern w:val="0"/>
          <w:sz w:val="20"/>
          <w:szCs w:val="20"/>
          <w:lang w:val="en-US" w:eastAsia="zh-CN" w:bidi="ar"/>
        </w:rPr>
        <w:t>Figure 2.1-1 NTN band and surrounding TN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Based on the above adjacent spectrum for NTN band, the applicable SS Block SCS and SS Block pattern of TN band can be reused. For example, the applicable SS Block SCS and SS Block pattern of band n24 can be reused to n255. Similarly, the applicable SS Block SCS and SS Block pattern of band n41 can be reused to n254. The applicable SS Block SCS and SS Block pattern of TN band n24/41/66 and NTN band n256/255 are listed in Table 2.4-1 and Table 2.4-2.</w:t>
      </w:r>
    </w:p>
    <w:p>
      <w:pPr>
        <w:pStyle w:val="45"/>
      </w:pPr>
      <w:r>
        <w:t xml:space="preserve">Table </w:t>
      </w:r>
      <w:r>
        <w:rPr>
          <w:rFonts w:hint="eastAsia"/>
          <w:lang w:val="en-US" w:eastAsia="zh-CN"/>
        </w:rPr>
        <w:t>2.4</w:t>
      </w:r>
      <w:r>
        <w:t>-1: Applicable SS raster entries per operating 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NR operating band</w:t>
            </w:r>
          </w:p>
        </w:tc>
        <w:tc>
          <w:tcPr>
            <w:tcW w:w="2407"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SS Block SCS</w:t>
            </w:r>
          </w:p>
        </w:tc>
        <w:tc>
          <w:tcPr>
            <w:tcW w:w="2407"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SS Block pattern</w:t>
            </w:r>
            <w:r>
              <w:rPr>
                <w:rFonts w:eastAsia="Yu Mincho"/>
                <w:vertAlign w:val="superscript"/>
              </w:rPr>
              <w:t>1</w:t>
            </w:r>
          </w:p>
        </w:tc>
        <w:tc>
          <w:tcPr>
            <w:tcW w:w="2407"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Range of GSCN</w:t>
            </w:r>
          </w:p>
          <w:p>
            <w:pPr>
              <w:pStyle w:val="3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36"/>
            </w:pPr>
            <w:r>
              <w:t>n24</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pPr>
            <w:r>
              <w:rPr>
                <w:rFonts w:cs="Arial"/>
              </w:rPr>
              <w:t>15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pPr>
            <w:r>
              <w:rPr>
                <w:rFonts w:cs="Arial"/>
                <w:lang w:val="en-US"/>
              </w:rPr>
              <w:t>Case A</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36"/>
            </w:pP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highlight w:val="none"/>
              </w:rPr>
            </w:pPr>
            <w:r>
              <w:rPr>
                <w:rFonts w:cs="Arial"/>
                <w:color w:val="auto"/>
                <w:highlight w:val="none"/>
              </w:rPr>
              <w:t>30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highlight w:val="none"/>
              </w:rPr>
            </w:pPr>
            <w:r>
              <w:rPr>
                <w:rFonts w:cs="Arial"/>
                <w:color w:val="auto"/>
                <w:highlight w:val="none"/>
                <w:lang w:val="en-US"/>
              </w:rPr>
              <w:t>Case B</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highlight w:val="none"/>
              </w:rPr>
            </w:pPr>
            <w:r>
              <w:rPr>
                <w:rFonts w:cs="Arial"/>
                <w:color w:val="auto"/>
                <w:highlight w:val="none"/>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36"/>
              <w:rPr>
                <w:rFonts w:eastAsia="Yu Mincho"/>
              </w:rPr>
            </w:pPr>
            <w:r>
              <w:t>n41</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rPr>
            </w:pPr>
            <w:r>
              <w:rPr>
                <w:color w:val="auto"/>
              </w:rPr>
              <w:t>15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rPr>
            </w:pPr>
            <w:r>
              <w:rPr>
                <w:color w:val="auto"/>
                <w:lang w:val="en-US" w:eastAsia="zh-CN"/>
              </w:rPr>
              <w:t xml:space="preserve">Case </w:t>
            </w:r>
            <w:r>
              <w:rPr>
                <w:rFonts w:hint="eastAsia"/>
                <w:color w:val="auto"/>
                <w:lang w:val="en-US" w:eastAsia="zh-CN"/>
              </w:rPr>
              <w:t>A</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rFonts w:eastAsia="Yu Mincho"/>
                <w:color w:val="auto"/>
              </w:rPr>
            </w:pPr>
            <w:r>
              <w:rPr>
                <w:color w:val="auto"/>
              </w:rP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36"/>
            </w:pP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highlight w:val="none"/>
              </w:rPr>
            </w:pPr>
            <w:r>
              <w:rPr>
                <w:color w:val="auto"/>
                <w:highlight w:val="none"/>
              </w:rPr>
              <w:t>30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highlight w:val="none"/>
              </w:rPr>
            </w:pPr>
            <w:r>
              <w:rPr>
                <w:color w:val="auto"/>
                <w:highlight w:val="none"/>
                <w:lang w:val="en-US" w:eastAsia="zh-CN"/>
              </w:rPr>
              <w:t>Case C</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highlight w:val="none"/>
              </w:rPr>
            </w:pPr>
            <w:r>
              <w:rPr>
                <w:color w:val="auto"/>
                <w:highlight w:val="none"/>
              </w:rP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36"/>
              <w:rPr>
                <w:rFonts w:eastAsia="Yu Mincho"/>
              </w:rPr>
            </w:pPr>
            <w:r>
              <w:t>n66</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rPr>
            </w:pPr>
            <w:r>
              <w:rPr>
                <w:color w:val="auto"/>
              </w:rPr>
              <w:t>15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rPr>
            </w:pPr>
            <w:r>
              <w:rPr>
                <w:color w:val="auto"/>
                <w:lang w:val="en-US" w:eastAsia="zh-CN"/>
              </w:rPr>
              <w:t xml:space="preserve">Case </w:t>
            </w:r>
            <w:r>
              <w:rPr>
                <w:rFonts w:hint="eastAsia"/>
                <w:color w:val="auto"/>
                <w:lang w:val="en-US" w:eastAsia="zh-CN"/>
              </w:rPr>
              <w:t>A</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rFonts w:eastAsia="Yu Mincho"/>
                <w:color w:val="auto"/>
              </w:rPr>
            </w:pPr>
            <w:r>
              <w:rPr>
                <w:color w:val="auto"/>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36"/>
              <w:rPr>
                <w:rFonts w:eastAsia="Yu Mincho"/>
              </w:rPr>
            </w:pP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highlight w:val="none"/>
              </w:rPr>
            </w:pPr>
            <w:r>
              <w:rPr>
                <w:color w:val="auto"/>
                <w:highlight w:val="none"/>
              </w:rPr>
              <w:t>30 kHz</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highlight w:val="none"/>
              </w:rPr>
            </w:pPr>
            <w:r>
              <w:rPr>
                <w:color w:val="auto"/>
                <w:highlight w:val="none"/>
                <w:lang w:val="en-US" w:eastAsia="zh-CN"/>
              </w:rPr>
              <w:t>Case B</w:t>
            </w:r>
          </w:p>
        </w:tc>
        <w:tc>
          <w:tcPr>
            <w:tcW w:w="2407" w:type="dxa"/>
            <w:tcBorders>
              <w:top w:val="single" w:color="auto" w:sz="4" w:space="0"/>
              <w:left w:val="single" w:color="auto" w:sz="4" w:space="0"/>
              <w:bottom w:val="single" w:color="auto" w:sz="4" w:space="0"/>
              <w:right w:val="single" w:color="auto" w:sz="4" w:space="0"/>
            </w:tcBorders>
            <w:shd w:val="clear" w:color="auto" w:fill="auto"/>
          </w:tcPr>
          <w:p>
            <w:pPr>
              <w:pStyle w:val="36"/>
              <w:rPr>
                <w:color w:val="auto"/>
                <w:highlight w:val="none"/>
              </w:rPr>
            </w:pPr>
            <w:r>
              <w:rPr>
                <w:color w:val="auto"/>
                <w:highlight w:val="none"/>
              </w:rPr>
              <w:t>5285 – &lt;1&gt; – 5488</w:t>
            </w:r>
          </w:p>
        </w:tc>
      </w:tr>
    </w:tbl>
    <w:p>
      <w:pPr>
        <w:pStyle w:val="45"/>
        <w:rPr>
          <w:rFonts w:hint="eastAsia"/>
          <w:b w:val="0"/>
          <w:bCs w:val="0"/>
          <w:i w:val="0"/>
          <w:iCs w:val="0"/>
          <w:lang w:val="en-US" w:eastAsia="zh-CN"/>
        </w:rPr>
      </w:pPr>
      <w:r>
        <w:rPr>
          <w:lang w:eastAsia="en-US"/>
        </w:rPr>
        <w:t xml:space="preserve">Table </w:t>
      </w:r>
      <w:r>
        <w:rPr>
          <w:rFonts w:hint="eastAsia"/>
          <w:lang w:val="en-US" w:eastAsia="zh-CN"/>
        </w:rPr>
        <w:t>2.4-2</w:t>
      </w:r>
      <w:r>
        <w:rPr>
          <w:lang w:eastAsia="en-US"/>
        </w:rPr>
        <w:t>: Applicable SS raster entries per operating 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35"/>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35"/>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35"/>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35"/>
              <w:rPr>
                <w:lang w:eastAsia="en-US"/>
              </w:rPr>
            </w:pPr>
            <w:r>
              <w:rPr>
                <w:lang w:eastAsia="en-US"/>
              </w:rPr>
              <w:t>Range of GSCN</w:t>
            </w:r>
          </w:p>
          <w:p>
            <w:pPr>
              <w:pStyle w:val="35"/>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36"/>
              <w:rPr>
                <w:rFonts w:eastAsia="Yu Mincho"/>
                <w:lang w:eastAsia="en-US"/>
              </w:rPr>
            </w:pPr>
            <w:r>
              <w:rPr>
                <w:lang w:eastAsia="en-US"/>
              </w:rPr>
              <w:t>n256</w:t>
            </w:r>
          </w:p>
        </w:tc>
        <w:tc>
          <w:tcPr>
            <w:tcW w:w="2331"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36"/>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vAlign w:val="center"/>
          </w:tcPr>
          <w:p>
            <w:pPr>
              <w:pStyle w:val="36"/>
            </w:pPr>
            <w:r>
              <w:t>5429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36"/>
              <w:rPr>
                <w:rFonts w:eastAsia="Yu Mincho"/>
                <w:lang w:eastAsia="en-US"/>
              </w:rPr>
            </w:pPr>
            <w:r>
              <w:rPr>
                <w:lang w:eastAsia="en-US"/>
              </w:rPr>
              <w:t>n255</w:t>
            </w:r>
          </w:p>
        </w:tc>
        <w:tc>
          <w:tcPr>
            <w:tcW w:w="2331"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36"/>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36"/>
            </w:pPr>
            <w:r>
              <w:rPr>
                <w:rFonts w:hint="eastAsia"/>
              </w:rPr>
              <w:t>3818</w:t>
            </w:r>
            <w:r>
              <w:t xml:space="preserve"> – &lt;1&gt; –</w:t>
            </w:r>
            <w:r>
              <w:rPr>
                <w:rFonts w:hint="eastAsia"/>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bottom w:val="single" w:color="auto" w:sz="4" w:space="0"/>
              <w:right w:val="single" w:color="auto" w:sz="4" w:space="0"/>
            </w:tcBorders>
          </w:tcPr>
          <w:p>
            <w:pPr>
              <w:pStyle w:val="36"/>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36"/>
            </w:pPr>
            <w:r>
              <w:t>Case B</w:t>
            </w:r>
          </w:p>
        </w:tc>
        <w:tc>
          <w:tcPr>
            <w:tcW w:w="2333" w:type="dxa"/>
            <w:tcBorders>
              <w:top w:val="single" w:color="auto" w:sz="4" w:space="0"/>
              <w:left w:val="single" w:color="auto" w:sz="4" w:space="0"/>
              <w:bottom w:val="single" w:color="auto" w:sz="4" w:space="0"/>
              <w:right w:val="single" w:color="auto" w:sz="4" w:space="0"/>
            </w:tcBorders>
          </w:tcPr>
          <w:p>
            <w:pPr>
              <w:pStyle w:val="36"/>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4"/>
            <w:tcBorders>
              <w:left w:val="single" w:color="auto" w:sz="4" w:space="0"/>
              <w:bottom w:val="single" w:color="auto" w:sz="4" w:space="0"/>
              <w:right w:val="single" w:color="auto" w:sz="4" w:space="0"/>
            </w:tcBorders>
          </w:tcPr>
          <w:p>
            <w:pPr>
              <w:pStyle w:val="48"/>
              <w:rPr>
                <w:lang w:eastAsia="en-US"/>
              </w:rPr>
            </w:pPr>
            <w:r>
              <w:rPr>
                <w:lang w:eastAsia="en-US"/>
              </w:rPr>
              <w:t>NOTE :</w:t>
            </w:r>
            <w:r>
              <w:rPr>
                <w:lang w:eastAsia="en-US"/>
              </w:rPr>
              <w:tab/>
            </w:r>
            <w:r>
              <w:rPr>
                <w:lang w:eastAsia="en-US"/>
              </w:rPr>
              <w:t>SS Block pattern is defined in clause 4.1 in 3GPP TS 38.213 [7].</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Therefore, the synchronization raster for operating bands n254 is specified in Table2.4-3.</w:t>
      </w:r>
    </w:p>
    <w:p>
      <w:pPr>
        <w:pStyle w:val="45"/>
        <w:rPr>
          <w:lang w:eastAsia="en-US"/>
        </w:rPr>
      </w:pPr>
      <w:r>
        <w:rPr>
          <w:lang w:eastAsia="en-US"/>
        </w:rPr>
        <w:t xml:space="preserve">Table </w:t>
      </w:r>
      <w:r>
        <w:rPr>
          <w:rFonts w:hint="eastAsia"/>
          <w:lang w:val="en-US" w:eastAsia="zh-CN"/>
        </w:rPr>
        <w:t>2.4-3</w:t>
      </w:r>
      <w:r>
        <w:rPr>
          <w:lang w:eastAsia="en-US"/>
        </w:rPr>
        <w:t>: Applicable SS raster entries per operating 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35"/>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35"/>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35"/>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35"/>
              <w:rPr>
                <w:lang w:eastAsia="en-US"/>
              </w:rPr>
            </w:pPr>
            <w:r>
              <w:rPr>
                <w:lang w:eastAsia="en-US"/>
              </w:rPr>
              <w:t>Range of GSCN</w:t>
            </w:r>
          </w:p>
          <w:p>
            <w:pPr>
              <w:pStyle w:val="35"/>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36"/>
              <w:rPr>
                <w:rFonts w:hint="eastAsia" w:eastAsia="宋体"/>
                <w:lang w:val="en-US" w:eastAsia="zh-CN"/>
              </w:rPr>
            </w:pPr>
            <w:r>
              <w:rPr>
                <w:lang w:eastAsia="en-US"/>
              </w:rPr>
              <w:t>n25</w:t>
            </w:r>
            <w:r>
              <w:rPr>
                <w:rFonts w:hint="eastAsia" w:eastAsia="宋体"/>
                <w:lang w:val="en-US" w:eastAsia="zh-CN"/>
              </w:rPr>
              <w:t>4</w:t>
            </w:r>
          </w:p>
        </w:tc>
        <w:tc>
          <w:tcPr>
            <w:tcW w:w="2331"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36"/>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36"/>
            </w:pPr>
            <w:r>
              <w:rPr>
                <w:rFonts w:hint="eastAsia"/>
              </w:rPr>
              <w:t>6215 – &lt;1&gt; –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36"/>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36"/>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36"/>
              <w:rPr>
                <w:rFonts w:hint="eastAsia" w:eastAsia="宋体"/>
                <w:lang w:eastAsia="zh-CN"/>
              </w:rPr>
            </w:pPr>
            <w:r>
              <w:t xml:space="preserve">Case </w:t>
            </w:r>
            <w:r>
              <w:rPr>
                <w:rFonts w:hint="eastAsia" w:eastAsia="宋体"/>
                <w:lang w:val="en-US" w:eastAsia="zh-CN"/>
              </w:rPr>
              <w:t>C</w:t>
            </w:r>
          </w:p>
        </w:tc>
        <w:tc>
          <w:tcPr>
            <w:tcW w:w="2333" w:type="dxa"/>
            <w:tcBorders>
              <w:top w:val="single" w:color="auto" w:sz="4" w:space="0"/>
              <w:left w:val="single" w:color="auto" w:sz="4" w:space="0"/>
              <w:bottom w:val="single" w:color="auto" w:sz="4" w:space="0"/>
              <w:right w:val="single" w:color="auto" w:sz="4" w:space="0"/>
            </w:tcBorders>
          </w:tcPr>
          <w:p>
            <w:pPr>
              <w:pStyle w:val="36"/>
            </w:pPr>
            <w:r>
              <w:rPr>
                <w:rFonts w:hint="eastAsia"/>
              </w:rPr>
              <w:t>6218 – &lt;1&gt; –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50" w:type="dxa"/>
            <w:gridSpan w:val="4"/>
            <w:tcBorders>
              <w:left w:val="single" w:color="auto" w:sz="4" w:space="0"/>
              <w:bottom w:val="single" w:color="auto" w:sz="4" w:space="0"/>
              <w:right w:val="single" w:color="auto" w:sz="4" w:space="0"/>
            </w:tcBorders>
          </w:tcPr>
          <w:p>
            <w:pPr>
              <w:pStyle w:val="48"/>
              <w:rPr>
                <w:lang w:eastAsia="en-US"/>
              </w:rPr>
            </w:pPr>
            <w:r>
              <w:rPr>
                <w:lang w:eastAsia="en-US"/>
              </w:rPr>
              <w:t>NOTE :</w:t>
            </w:r>
            <w:r>
              <w:rPr>
                <w:lang w:eastAsia="en-US"/>
              </w:rPr>
              <w:tab/>
            </w:r>
            <w:r>
              <w:rPr>
                <w:lang w:eastAsia="en-US"/>
              </w:rPr>
              <w:t>SS Block pattern is defined in clause 4.1 in 3GPP TS 38.213 [7].</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6: </w:t>
      </w:r>
      <w:r>
        <w:rPr>
          <w:rFonts w:hint="eastAsia"/>
          <w:b w:val="0"/>
          <w:bCs w:val="0"/>
          <w:i w:val="0"/>
          <w:iCs w:val="0"/>
          <w:lang w:val="en-US" w:eastAsia="zh-CN"/>
        </w:rPr>
        <w:t>For the NTN FDD band with a UE transmitting at 1610-1626.5MHz and SAN transmitting at 2483.5-2500MHz, the synchronization raster should be defined as Table 2.4-1.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2.6 TX–RX frequency separation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default"/>
          <w:b w:val="0"/>
          <w:bCs w:val="0"/>
          <w:i w:val="0"/>
          <w:iCs w:val="0"/>
          <w:lang w:val="en-US" w:eastAsia="zh-CN"/>
        </w:rPr>
        <w:t xml:space="preserve">The default TX channel (carrier centre frequency) to RX channel (carrier centre frequency) separation for operating bands </w:t>
      </w:r>
      <w:r>
        <w:rPr>
          <w:rFonts w:hint="eastAsia"/>
          <w:b w:val="0"/>
          <w:bCs w:val="0"/>
          <w:i w:val="0"/>
          <w:iCs w:val="0"/>
          <w:lang w:val="en-US" w:eastAsia="zh-CN"/>
        </w:rPr>
        <w:t xml:space="preserve">n254 </w:t>
      </w:r>
      <w:r>
        <w:rPr>
          <w:rFonts w:hint="default"/>
          <w:b w:val="0"/>
          <w:bCs w:val="0"/>
          <w:i w:val="0"/>
          <w:iCs w:val="0"/>
          <w:lang w:val="en-US" w:eastAsia="zh-CN"/>
        </w:rPr>
        <w:t xml:space="preserve">is specified in Table </w:t>
      </w:r>
      <w:r>
        <w:rPr>
          <w:rFonts w:hint="eastAsia"/>
          <w:b w:val="0"/>
          <w:bCs w:val="0"/>
          <w:i w:val="0"/>
          <w:iCs w:val="0"/>
          <w:lang w:val="en-US" w:eastAsia="zh-CN"/>
        </w:rPr>
        <w:t>2.5</w:t>
      </w:r>
      <w:r>
        <w:rPr>
          <w:rFonts w:hint="default"/>
          <w:b w:val="0"/>
          <w:bCs w:val="0"/>
          <w:i w:val="0"/>
          <w:iCs w:val="0"/>
          <w:lang w:val="en-US" w:eastAsia="zh-CN"/>
        </w:rPr>
        <w:t>-1.</w:t>
      </w:r>
    </w:p>
    <w:p>
      <w:pPr>
        <w:pStyle w:val="45"/>
      </w:pPr>
      <w:r>
        <w:t xml:space="preserve">Table </w:t>
      </w:r>
      <w:r>
        <w:rPr>
          <w:rFonts w:hint="eastAsia"/>
          <w:lang w:val="en-US" w:eastAsia="zh-CN"/>
        </w:rPr>
        <w:t>2</w:t>
      </w:r>
      <w:r>
        <w:t>.</w:t>
      </w:r>
      <w:r>
        <w:rPr>
          <w:rFonts w:hint="eastAsia"/>
          <w:lang w:val="en-US" w:eastAsia="zh-CN"/>
        </w:rPr>
        <w:t>5</w:t>
      </w:r>
      <w:r>
        <w:t>-1: UE TX-RX frequency separation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17" w:type="dxa"/>
          </w:tcPr>
          <w:p>
            <w:pPr>
              <w:pStyle w:val="35"/>
            </w:pPr>
            <w:r>
              <w:t>NTN Satellite Operating Band</w:t>
            </w:r>
          </w:p>
        </w:tc>
        <w:tc>
          <w:tcPr>
            <w:tcW w:w="2693" w:type="dxa"/>
          </w:tcPr>
          <w:p>
            <w:pPr>
              <w:pStyle w:val="35"/>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36"/>
              <w:rPr>
                <w:rFonts w:hint="eastAsia" w:eastAsia="宋体"/>
                <w:lang w:eastAsia="zh-CN"/>
              </w:rPr>
            </w:pPr>
            <w:r>
              <w:rPr>
                <w:rFonts w:hint="eastAsia"/>
                <w:lang w:val="en-US"/>
              </w:rPr>
              <w:t>n</w:t>
            </w:r>
            <w:r>
              <w:rPr>
                <w:lang w:val="en-US"/>
              </w:rPr>
              <w:t>25</w:t>
            </w:r>
            <w:r>
              <w:rPr>
                <w:rFonts w:hint="eastAsia" w:eastAsia="宋体"/>
                <w:lang w:val="en-US" w:eastAsia="zh-CN"/>
              </w:rPr>
              <w:t>4</w:t>
            </w:r>
          </w:p>
        </w:tc>
        <w:tc>
          <w:tcPr>
            <w:tcW w:w="2693" w:type="dxa"/>
            <w:tcBorders>
              <w:top w:val="single" w:color="auto" w:sz="4" w:space="0"/>
              <w:left w:val="single" w:color="auto" w:sz="4" w:space="0"/>
              <w:bottom w:val="single" w:color="auto" w:sz="4" w:space="0"/>
              <w:right w:val="single" w:color="auto" w:sz="4" w:space="0"/>
            </w:tcBorders>
          </w:tcPr>
          <w:p>
            <w:pPr>
              <w:pStyle w:val="36"/>
            </w:pPr>
            <w:r>
              <w:rPr>
                <w:rFonts w:hint="eastAsia" w:eastAsia="宋体"/>
                <w:lang w:val="en-US" w:eastAsia="zh-CN"/>
              </w:rPr>
              <w:t>873.5</w:t>
            </w:r>
            <w:r>
              <w:rPr>
                <w:rFonts w:hint="eastAsia"/>
                <w:lang w:val="en-US"/>
              </w:rPr>
              <w:t xml:space="preserve"> MHz</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7:</w:t>
      </w:r>
      <w:r>
        <w:rPr>
          <w:rFonts w:hint="eastAsia"/>
          <w:b w:val="0"/>
          <w:bCs w:val="0"/>
          <w:i w:val="0"/>
          <w:iCs w:val="0"/>
          <w:lang w:val="en-US" w:eastAsia="zh-CN"/>
        </w:rPr>
        <w:t xml:space="preserve"> For the NTN FDD band with a UE transmitting at 1610-1626.5MHz and SAN transmitting at 2483.5-2500MHz, the TX–RX frequency separation should be defined as Table 2.5-1.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2.7 UE maximum output power</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default"/>
          <w:b w:val="0"/>
          <w:bCs w:val="0"/>
          <w:i w:val="0"/>
          <w:iCs w:val="0"/>
          <w:lang w:val="en-US" w:eastAsia="zh-CN"/>
        </w:rPr>
        <w:t xml:space="preserve">According to the </w:t>
      </w:r>
      <w:r>
        <w:rPr>
          <w:rFonts w:hint="eastAsia"/>
          <w:b w:val="0"/>
          <w:bCs w:val="0"/>
          <w:i w:val="0"/>
          <w:iCs w:val="0"/>
          <w:lang w:val="en-US" w:eastAsia="zh-CN"/>
        </w:rPr>
        <w:t>WID objective</w:t>
      </w:r>
      <w:r>
        <w:rPr>
          <w:rFonts w:hint="default"/>
          <w:b w:val="0"/>
          <w:bCs w:val="0"/>
          <w:i w:val="0"/>
          <w:iCs w:val="0"/>
          <w:lang w:val="en-US" w:eastAsia="zh-CN"/>
        </w:rPr>
        <w:t>,</w:t>
      </w:r>
      <w:r>
        <w:rPr>
          <w:rFonts w:hint="eastAsia"/>
          <w:b w:val="0"/>
          <w:bCs w:val="0"/>
          <w:i w:val="0"/>
          <w:iCs w:val="0"/>
          <w:lang w:val="en-US" w:eastAsia="zh-CN"/>
        </w:rPr>
        <w:t xml:space="preserve"> the new NTN FDD band with a UE transmitting at 1610-1626.5MHz and SAN transmitting at 2483.5-2500MHz supports UE Power class 3 (+23dBm).</w:t>
      </w:r>
    </w:p>
    <w:p>
      <w:pPr>
        <w:pStyle w:val="45"/>
      </w:pPr>
      <w:r>
        <w:t>Table 2.</w:t>
      </w:r>
      <w:r>
        <w:rPr>
          <w:rFonts w:hint="eastAsia"/>
          <w:lang w:val="en-US" w:eastAsia="zh-CN"/>
        </w:rPr>
        <w:t>6</w:t>
      </w:r>
      <w:r>
        <w:t>-1: UE Power Class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8"/>
        <w:gridCol w:w="2408"/>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vAlign w:val="center"/>
          </w:tcPr>
          <w:p>
            <w:pPr>
              <w:pStyle w:val="35"/>
            </w:pPr>
            <w:r>
              <w:t>NR satellite band</w:t>
            </w:r>
          </w:p>
        </w:tc>
        <w:tc>
          <w:tcPr>
            <w:tcW w:w="2408" w:type="dxa"/>
          </w:tcPr>
          <w:p>
            <w:pPr>
              <w:pStyle w:val="35"/>
            </w:pPr>
            <w:r>
              <w:t>Class 3 (dBm)</w:t>
            </w:r>
          </w:p>
        </w:tc>
        <w:tc>
          <w:tcPr>
            <w:tcW w:w="3118" w:type="dxa"/>
          </w:tcPr>
          <w:p>
            <w:pPr>
              <w:pStyle w:val="35"/>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36"/>
              <w:rPr>
                <w:rFonts w:hint="eastAsia" w:eastAsia="宋体"/>
                <w:lang w:eastAsia="zh-CN"/>
              </w:rPr>
            </w:pPr>
            <w:r>
              <w:t>n25</w:t>
            </w:r>
            <w:r>
              <w:rPr>
                <w:rFonts w:hint="eastAsia" w:eastAsia="宋体"/>
                <w:lang w:val="en-US" w:eastAsia="zh-CN"/>
              </w:rPr>
              <w:t>4</w:t>
            </w:r>
          </w:p>
        </w:tc>
        <w:tc>
          <w:tcPr>
            <w:tcW w:w="2408" w:type="dxa"/>
          </w:tcPr>
          <w:p>
            <w:pPr>
              <w:pStyle w:val="36"/>
            </w:pPr>
            <w:r>
              <w:t>23</w:t>
            </w:r>
          </w:p>
        </w:tc>
        <w:tc>
          <w:tcPr>
            <w:tcW w:w="3118" w:type="dxa"/>
          </w:tcPr>
          <w:p>
            <w:pPr>
              <w:pStyle w:val="36"/>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4" w:type="dxa"/>
            <w:gridSpan w:val="3"/>
          </w:tcPr>
          <w:p>
            <w:pPr>
              <w:pStyle w:val="48"/>
            </w:pPr>
            <w:r>
              <w:t>NOTE 1:</w:t>
            </w:r>
            <w:r>
              <w:tab/>
            </w:r>
            <w:r>
              <w:t>P</w:t>
            </w:r>
            <w:r>
              <w:rPr>
                <w:vertAlign w:val="subscript"/>
              </w:rPr>
              <w:t>PowerClass</w:t>
            </w:r>
            <w:r>
              <w:t xml:space="preserve"> is the maximum UE power specified without taking into account the tolerance</w:t>
            </w:r>
          </w:p>
          <w:p>
            <w:pPr>
              <w:pStyle w:val="48"/>
            </w:pPr>
            <w:r>
              <w:t>NOTE 2:</w:t>
            </w:r>
            <w:r>
              <w:tab/>
            </w:r>
            <w:r>
              <w:t>Power</w:t>
            </w:r>
            <w:r>
              <w:rPr>
                <w:vertAlign w:val="subscript"/>
              </w:rPr>
              <w:t xml:space="preserve"> </w:t>
            </w:r>
            <w:r>
              <w:t>class 3 is default power class unless otherwise stated</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8:</w:t>
      </w:r>
      <w:r>
        <w:rPr>
          <w:rFonts w:hint="eastAsia"/>
          <w:b w:val="0"/>
          <w:bCs w:val="0"/>
          <w:i w:val="0"/>
          <w:iCs w:val="0"/>
          <w:lang w:val="en-US" w:eastAsia="zh-CN"/>
        </w:rPr>
        <w:t xml:space="preserve"> For the NTN FDD band with a UE transmitting at 1610-1626.5MHz and SAN transmitting at 2483.5-2500MHz, the UE maximum output power should be defined as Table 2.6-1.</w:t>
      </w:r>
    </w:p>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NTN FDD band with a UE transmitting at 1610-1626.5MHz and SAN transmitting at 2483.5-2500MHz should be numbered as Table 2.1-1.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2:</w:t>
      </w:r>
      <w:r>
        <w:rPr>
          <w:rFonts w:hint="eastAsia"/>
          <w:b w:val="0"/>
          <w:bCs w:val="0"/>
          <w:i w:val="0"/>
          <w:iCs w:val="0"/>
          <w:lang w:val="en-US" w:eastAsia="zh-CN"/>
        </w:rPr>
        <w:t xml:space="preserve"> The NTN FDD band with a UE transmitting at 1610-1626.5MHz and SAN transmitting at 2483.5-2500MHz should not be limited for GEO.</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3:</w:t>
      </w:r>
      <w:r>
        <w:rPr>
          <w:rFonts w:hint="eastAsia"/>
          <w:b w:val="0"/>
          <w:bCs w:val="0"/>
          <w:i w:val="0"/>
          <w:iCs w:val="0"/>
          <w:lang w:val="en-US" w:eastAsia="zh-CN"/>
        </w:rPr>
        <w:t xml:space="preserve"> For the NTN FDD band with a UE transmitting at 1610-1626.5MHz and SAN transmitting at 2483.5-2500MHz, the UE channel bandwidth per operating band should be defined as Table 2.2-1.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4:</w:t>
      </w:r>
      <w:r>
        <w:rPr>
          <w:rFonts w:hint="eastAsia"/>
          <w:b w:val="0"/>
          <w:bCs w:val="0"/>
          <w:i w:val="0"/>
          <w:iCs w:val="0"/>
          <w:lang w:val="en-US" w:eastAsia="zh-CN"/>
        </w:rPr>
        <w:t xml:space="preserve"> The introduction of asymmetric channel bandwidth combinations can be further studied.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5:</w:t>
      </w:r>
      <w:r>
        <w:rPr>
          <w:rFonts w:hint="eastAsia"/>
          <w:b w:val="0"/>
          <w:bCs w:val="0"/>
          <w:i w:val="0"/>
          <w:iCs w:val="0"/>
          <w:lang w:val="en-US" w:eastAsia="zh-CN"/>
        </w:rPr>
        <w:t xml:space="preserve"> For the NTN FDD band with a UE transmitting at 1610-1626.5MHz and SAN transmitting at 2483.5-2500MHz, the NR-ARFCN should be defined as Table 2.3-1.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 xml:space="preserve">Proposal 6: </w:t>
      </w:r>
      <w:r>
        <w:rPr>
          <w:rFonts w:hint="eastAsia"/>
          <w:b w:val="0"/>
          <w:bCs w:val="0"/>
          <w:i w:val="0"/>
          <w:iCs w:val="0"/>
          <w:lang w:val="en-US" w:eastAsia="zh-CN"/>
        </w:rPr>
        <w:t>For the NTN FDD band with a UE transmitting at 1610-1626.5MHz and SAN transmitting at 2483.5-2500MHz, the synchronization raster should be defined as Table 2.4-1.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7:</w:t>
      </w:r>
      <w:r>
        <w:rPr>
          <w:rFonts w:hint="eastAsia"/>
          <w:b w:val="0"/>
          <w:bCs w:val="0"/>
          <w:i w:val="0"/>
          <w:iCs w:val="0"/>
          <w:lang w:val="en-US" w:eastAsia="zh-CN"/>
        </w:rPr>
        <w:t xml:space="preserve"> For the NTN FDD band with a UE transmitting at 1610-1626.5MHz and SAN transmitting at 2483.5-2500MHz, the TX–RX frequency separation should be defined as Table 2.5-1.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8:</w:t>
      </w:r>
      <w:r>
        <w:rPr>
          <w:rFonts w:hint="eastAsia"/>
          <w:b w:val="0"/>
          <w:bCs w:val="0"/>
          <w:i w:val="0"/>
          <w:iCs w:val="0"/>
          <w:lang w:val="en-US" w:eastAsia="zh-CN"/>
        </w:rPr>
        <w:t xml:space="preserve"> For the NTN FDD band with a UE transmitting at 1610-1626.5MHz and SAN transmitting at 2483.5-2500MHz, the UE maximum output power should be defined as Table 2.6-1.</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4"/>
        </w:numPr>
      </w:pPr>
      <w:r>
        <w:rPr>
          <w:rFonts w:hint="eastAsia" w:ascii="Times New Roman" w:hAnsi="Times New Roman" w:eastAsia="宋体" w:cs="Times New Roman"/>
          <w:sz w:val="20"/>
          <w:szCs w:val="20"/>
          <w:highlight w:val="none"/>
          <w:lang w:val="en-US" w:eastAsia="zh-CN"/>
        </w:rPr>
        <w:t>RP-223485</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satellite L-/S-ban”, Globalstar, Apple.</w:t>
      </w:r>
    </w:p>
    <w:p>
      <w:pPr>
        <w:pStyle w:val="53"/>
        <w:numPr>
          <w:ilvl w:val="0"/>
          <w:numId w:val="4"/>
        </w:numPr>
      </w:pPr>
      <w:r>
        <w:rPr>
          <w:rFonts w:hint="eastAsia"/>
        </w:rPr>
        <w:t>R4-2302814</w:t>
      </w:r>
      <w:r>
        <w:rPr>
          <w:rFonts w:hint="eastAsia"/>
          <w:lang w:val="en-US" w:eastAsia="zh-CN"/>
        </w:rPr>
        <w:t xml:space="preserve">, </w:t>
      </w:r>
      <w:r>
        <w:rPr>
          <w:rFonts w:hint="eastAsia"/>
        </w:rPr>
        <w:t>Topic summary for [106][121] NR_NTN_LSband</w:t>
      </w:r>
      <w:r>
        <w:rPr>
          <w:rFonts w:hint="eastAsia"/>
          <w:lang w:val="en-US" w:eastAsia="zh-CN"/>
        </w:rPr>
        <w:t>, Apple</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4C16130"/>
    <w:multiLevelType w:val="multilevel"/>
    <w:tmpl w:val="14C161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024FB"/>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94C9F"/>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10</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2023-04-10T06:35:59Z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35E073C0382D43E4926390FC7D1752BF</vt:lpwstr>
  </property>
</Properties>
</file>